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000"/>
      </w:tblPr>
      <w:tblGrid>
        <w:gridCol w:w="6489"/>
        <w:gridCol w:w="4092"/>
      </w:tblGrid>
      <w:tr w:rsidR="00C712D2" w:rsidRPr="00E35A34" w:rsidTr="00C712D2">
        <w:tc>
          <w:tcPr>
            <w:tcW w:w="10456" w:type="dxa"/>
            <w:gridSpan w:val="2"/>
          </w:tcPr>
          <w:p w:rsidR="00C712D2" w:rsidRPr="00E35A34" w:rsidRDefault="00C712D2" w:rsidP="00CF53B4">
            <w:pPr>
              <w:pStyle w:val="ShiftCtrlAlt0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Напрям</w:t>
            </w:r>
          </w:p>
        </w:tc>
      </w:tr>
      <w:tr w:rsidR="00C712D2" w:rsidRPr="00E35A34" w:rsidTr="00C712D2">
        <w:tc>
          <w:tcPr>
            <w:tcW w:w="6489" w:type="dxa"/>
          </w:tcPr>
          <w:p w:rsidR="00C712D2" w:rsidRPr="00E35A34" w:rsidRDefault="00C712D2" w:rsidP="00CF53B4">
            <w:pPr>
              <w:pStyle w:val="ShiftCtrlAlt0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Що контролювати</w:t>
            </w:r>
            <w:r w:rsidR="00BE511F" w:rsidRPr="00E35A34">
              <w:rPr>
                <w:rFonts w:cs="Times New Roman"/>
                <w:sz w:val="28"/>
                <w:szCs w:val="28"/>
                <w:lang w:val="uk-UA"/>
              </w:rPr>
              <w:t xml:space="preserve"> у 2021/2022 н. р.</w:t>
            </w:r>
          </w:p>
        </w:tc>
        <w:tc>
          <w:tcPr>
            <w:tcW w:w="3967" w:type="dxa"/>
          </w:tcPr>
          <w:p w:rsidR="00C712D2" w:rsidRPr="00E35A34" w:rsidRDefault="00C712D2" w:rsidP="00CF53B4">
            <w:pPr>
              <w:pStyle w:val="ShiftCtrlAlt0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Чим керуватися</w:t>
            </w:r>
          </w:p>
        </w:tc>
      </w:tr>
      <w:tr w:rsidR="00C712D2" w:rsidRPr="00E35A34" w:rsidTr="00C712D2">
        <w:tc>
          <w:tcPr>
            <w:tcW w:w="10456" w:type="dxa"/>
            <w:gridSpan w:val="2"/>
          </w:tcPr>
          <w:p w:rsidR="00C712D2" w:rsidRPr="00E35A34" w:rsidRDefault="00C712D2" w:rsidP="00CF53B4">
            <w:pPr>
              <w:pStyle w:val="ShiftCtrlAlt0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Освітній процес</w:t>
            </w:r>
          </w:p>
        </w:tc>
      </w:tr>
      <w:tr w:rsidR="00C712D2" w:rsidRPr="00E35A34" w:rsidTr="00C712D2">
        <w:trPr>
          <w:trHeight w:val="826"/>
        </w:trPr>
        <w:tc>
          <w:tcPr>
            <w:tcW w:w="6489" w:type="dxa"/>
          </w:tcPr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sz w:val="28"/>
                <w:szCs w:val="28"/>
              </w:rPr>
            </w:pPr>
            <w:r w:rsidRPr="00E35A34">
              <w:rPr>
                <w:rStyle w:val="Bold"/>
                <w:rFonts w:cs="Times New Roman"/>
                <w:sz w:val="28"/>
                <w:szCs w:val="28"/>
              </w:rPr>
              <w:t>Тривалістьосвітньогопроцесу.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У межах навчального року триває не менше </w:t>
            </w: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175 навчальних днів</w:t>
            </w: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 і закінчується не пізніше 1 липня наступного року.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У межах академічної автономії організація виконання освітньої програми та освітнього процесу є внутрішнім питанням кожного закладу, його педради та завданням педагогів</w:t>
            </w:r>
          </w:p>
        </w:tc>
        <w:tc>
          <w:tcPr>
            <w:tcW w:w="3967" w:type="dxa"/>
            <w:vMerge w:val="restart"/>
          </w:tcPr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Частини 3, 4 статті 10 </w:t>
            </w:r>
            <w:hyperlink r:id="rId10" w:history="1">
              <w:r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Закону України «Про повну загальну середню освіту»</w:t>
              </w:r>
            </w:hyperlink>
          </w:p>
        </w:tc>
      </w:tr>
      <w:tr w:rsidR="00C712D2" w:rsidRPr="00E35A34" w:rsidTr="00C712D2">
        <w:trPr>
          <w:trHeight w:val="2951"/>
        </w:trPr>
        <w:tc>
          <w:tcPr>
            <w:tcW w:w="6489" w:type="dxa"/>
          </w:tcPr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Рішення педагогічної ради.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Структуру та тривалість навчальних року, тижня, дня, занять, відпочинку між ними, форми організації освітнього процесу </w:t>
            </w: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визначає педагогічна рада</w:t>
            </w: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 закладу в межах часу, передбаченого освітньою програмою, відповідно до обсягу навчального навантаження, встановленого навчальним планом, та з урахуванням вікових особливостей, фізичного, психічного та інтелектуального розвитку дітей, особливостей регіону тощо</w:t>
            </w:r>
          </w:p>
        </w:tc>
        <w:tc>
          <w:tcPr>
            <w:tcW w:w="3967" w:type="dxa"/>
            <w:vMerge/>
          </w:tcPr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C712D2" w:rsidRPr="00E35A34" w:rsidTr="00C712D2">
        <w:trPr>
          <w:trHeight w:val="917"/>
        </w:trPr>
        <w:tc>
          <w:tcPr>
            <w:tcW w:w="6489" w:type="dxa"/>
          </w:tcPr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Організацію дистанційного навчання.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В умовах пандемії навчання може відбуватися за потреби з використанням технологій дистанційного навчання</w:t>
            </w:r>
          </w:p>
        </w:tc>
        <w:tc>
          <w:tcPr>
            <w:tcW w:w="3967" w:type="dxa"/>
          </w:tcPr>
          <w:p w:rsidR="00C712D2" w:rsidRPr="00E35A34" w:rsidRDefault="004E000D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hyperlink r:id="rId11" w:anchor="bssPhr24" w:history="1">
              <w:r w:rsidR="00C712D2"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Положення про дистанційну форму здобуття повної загальної середньої освіти</w:t>
              </w:r>
            </w:hyperlink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>, затвердже</w:t>
            </w:r>
            <w:r w:rsidR="00A7413D" w:rsidRPr="00E35A34">
              <w:rPr>
                <w:rFonts w:cs="Times New Roman"/>
                <w:sz w:val="28"/>
                <w:szCs w:val="28"/>
                <w:lang w:val="uk-UA"/>
              </w:rPr>
              <w:t>не</w:t>
            </w:r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 xml:space="preserve"> наказом МОН від</w:t>
            </w:r>
            <w:r w:rsidR="00414793" w:rsidRPr="00E35A34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>08.09.2020 № 1115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C712D2" w:rsidRPr="00E35A34" w:rsidTr="00C712D2">
        <w:trPr>
          <w:trHeight w:val="530"/>
        </w:trPr>
        <w:tc>
          <w:tcPr>
            <w:tcW w:w="6489" w:type="dxa"/>
          </w:tcPr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Режим роботи закладу.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На період встановлення карантину засновник закладу або уповноважений орган може змінювати режим роботи закладу</w:t>
            </w:r>
          </w:p>
        </w:tc>
        <w:tc>
          <w:tcPr>
            <w:tcW w:w="3967" w:type="dxa"/>
          </w:tcPr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Підпункт 2 пункту 2 розділу II «Прикінцеві положення» </w:t>
            </w:r>
            <w:hyperlink r:id="rId12" w:anchor="bssPhr2" w:history="1">
              <w:r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Закону України «Про внесення змін до деяких законодавчих актів України, спрямованих на запобігання виникнення і поширення коронавірусної хвороби (COVID-19)»</w:t>
              </w:r>
            </w:hyperlink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 від 17.03.2020 № 530-ІХ</w:t>
            </w:r>
          </w:p>
        </w:tc>
      </w:tr>
      <w:tr w:rsidR="00C712D2" w:rsidRPr="00E35A34" w:rsidTr="00C712D2">
        <w:tc>
          <w:tcPr>
            <w:tcW w:w="6489" w:type="dxa"/>
          </w:tcPr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Виконання освітньої програми.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Освітня програма ЗЗСО може бути </w:t>
            </w:r>
            <w:r w:rsidR="00A7413D" w:rsidRPr="00E35A34">
              <w:rPr>
                <w:rFonts w:cs="Times New Roman"/>
                <w:sz w:val="28"/>
                <w:szCs w:val="28"/>
                <w:lang w:val="uk-UA"/>
              </w:rPr>
              <w:t xml:space="preserve">або </w:t>
            </w:r>
            <w:r w:rsidRPr="00E35A34">
              <w:rPr>
                <w:rFonts w:cs="Times New Roman"/>
                <w:sz w:val="28"/>
                <w:szCs w:val="28"/>
                <w:lang w:val="uk-UA"/>
              </w:rPr>
              <w:t>для певного рівня освіти</w:t>
            </w:r>
            <w:r w:rsidR="00A7413D" w:rsidRPr="00E35A34">
              <w:rPr>
                <w:rFonts w:cs="Times New Roman"/>
                <w:sz w:val="28"/>
                <w:szCs w:val="28"/>
                <w:lang w:val="uk-UA"/>
              </w:rPr>
              <w:t>,</w:t>
            </w: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 або наскрізною, у випадку здійснення освітньої діяльності на різних рівнях освіти (з 1 по 11(12) класи), що схвалює педагогічна рада закладу та затверджує керівник. Основою для її розроблення є відповідна Типова освітня програма.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lastRenderedPageBreak/>
              <w:t>У 2021/2022 н. р. освітню програму закладу освіти можна розробляти на основі: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для 1—2-х класів — типових освітніх програм (наказ МОН від 08.10.2019 № 1272);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для 3—4-х класів — типових освітніх програм (наказ МОН від 08.10.2019 № 1273).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У навчальному плані освітньої програми закладу потрібно конкретизувати </w:t>
            </w: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розподіл годин на вивчення навчальних предметів</w:t>
            </w: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 (інтегрованих курсів) інваріантного та варіативного складників (обов’язкових для вивчення та за вибором).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Можна використовувати освітні програми, що пройшли апробацію в межах дослідно-експериментальної роботи всеукраїнського рівня</w:t>
            </w:r>
          </w:p>
        </w:tc>
        <w:tc>
          <w:tcPr>
            <w:tcW w:w="3967" w:type="dxa"/>
          </w:tcPr>
          <w:p w:rsidR="00C712D2" w:rsidRPr="00E35A34" w:rsidRDefault="004E000D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hyperlink r:id="rId13" w:anchor="bssPhr16" w:history="1">
              <w:r w:rsidR="00C712D2"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Державний стандарт початкової освіти</w:t>
              </w:r>
            </w:hyperlink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>, затверджений постановою КМУ від</w:t>
            </w:r>
            <w:r w:rsidR="00E33A22" w:rsidRPr="00E35A34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>21.02.2018 № 87 (у редакції постанови КМУ від 24.07.2019 № 688).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</w:p>
          <w:p w:rsidR="00C712D2" w:rsidRPr="00E35A34" w:rsidRDefault="004E000D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hyperlink r:id="rId14" w:anchor="bssPhr995" w:history="1">
              <w:r w:rsidR="00C712D2"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Державний стандарт базової і повної загальної середньої освіти</w:t>
              </w:r>
            </w:hyperlink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>, затверджений постановою КМУ від</w:t>
            </w:r>
            <w:r w:rsidR="00CC1E02" w:rsidRPr="00E35A34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>23.11.2011 № 1392.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</w:p>
          <w:p w:rsidR="00C712D2" w:rsidRPr="00E35A34" w:rsidRDefault="004E000D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hyperlink r:id="rId15" w:anchor="bssPhr5" w:history="1">
              <w:r w:rsidR="00C712D2"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Лист МОН «Про окремі питання діяльності закладів загальної середньої освіти у новому 2021/2022 навчальному році»</w:t>
              </w:r>
            </w:hyperlink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 xml:space="preserve"> від 28.08.2021 №1/9-433</w:t>
            </w:r>
          </w:p>
        </w:tc>
      </w:tr>
      <w:tr w:rsidR="00C712D2" w:rsidRPr="00E35A34" w:rsidTr="00C712D2">
        <w:tc>
          <w:tcPr>
            <w:tcW w:w="6489" w:type="dxa"/>
          </w:tcPr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lastRenderedPageBreak/>
              <w:t>Організацію ДПА.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Підготуватися до проведення ДПА. Проаналізувати перелік предметів і форми проведення ДПА</w:t>
            </w:r>
          </w:p>
        </w:tc>
        <w:tc>
          <w:tcPr>
            <w:tcW w:w="3967" w:type="dxa"/>
          </w:tcPr>
          <w:p w:rsidR="00C712D2" w:rsidRPr="00E35A34" w:rsidRDefault="004E000D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hyperlink r:id="rId16" w:anchor="bssPhr4" w:history="1">
              <w:r w:rsidR="00C712D2"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Наказ МОН «Деякі питання проведення у 2021/2022 навчальному році державної підсумкової атестації осіб, які здобувають загальну середню освіту»</w:t>
              </w:r>
            </w:hyperlink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 xml:space="preserve"> від 14.05.2021 № 528</w:t>
            </w:r>
          </w:p>
        </w:tc>
      </w:tr>
      <w:tr w:rsidR="00C712D2" w:rsidRPr="00E35A34" w:rsidTr="00C712D2">
        <w:tc>
          <w:tcPr>
            <w:tcW w:w="6489" w:type="dxa"/>
          </w:tcPr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Навчальне навантаження.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Не допускати перевантаження учнів під час організації освітнього процесу. Упродовж навчальних занять, які поєднують у собі навантаження на організм дитини, проводити вправи з рухової активності та вправи гімнастики для очей.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Проводити руханки як під час навчальних занять, так і на перервах. Вони дають змогу учням швидко відпочити, поліпшити самопочуття, налаштуватись на навчання</w:t>
            </w:r>
          </w:p>
        </w:tc>
        <w:tc>
          <w:tcPr>
            <w:tcW w:w="3967" w:type="dxa"/>
          </w:tcPr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Додаток 3 </w:t>
            </w:r>
            <w:hyperlink r:id="rId17" w:anchor="bssPhr25" w:history="1">
              <w:r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Санітарного регламенту для закладів загальної середньої освіти</w:t>
              </w:r>
            </w:hyperlink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, затвердженого наказом МОЗ </w:t>
            </w:r>
            <w:r w:rsidR="007C2A38" w:rsidRPr="00E35A34">
              <w:rPr>
                <w:rFonts w:cs="Times New Roman"/>
                <w:sz w:val="28"/>
                <w:szCs w:val="28"/>
                <w:lang w:val="uk-UA"/>
              </w:rPr>
              <w:t>від </w:t>
            </w:r>
            <w:r w:rsidRPr="00E35A34">
              <w:rPr>
                <w:rFonts w:cs="Times New Roman"/>
                <w:sz w:val="28"/>
                <w:szCs w:val="28"/>
                <w:lang w:val="uk-UA"/>
              </w:rPr>
              <w:t>25.09.2020 № 2205</w:t>
            </w:r>
          </w:p>
        </w:tc>
      </w:tr>
      <w:tr w:rsidR="00C712D2" w:rsidRPr="00E35A34" w:rsidTr="00C712D2">
        <w:trPr>
          <w:trHeight w:val="4315"/>
        </w:trPr>
        <w:tc>
          <w:tcPr>
            <w:tcW w:w="6489" w:type="dxa"/>
          </w:tcPr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Організаці</w:t>
            </w:r>
            <w:r w:rsidRPr="00E35A34">
              <w:rPr>
                <w:rStyle w:val="Bold"/>
                <w:rFonts w:cs="Times New Roman"/>
                <w:sz w:val="28"/>
                <w:szCs w:val="28"/>
              </w:rPr>
              <w:t>ю</w:t>
            </w: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 xml:space="preserve"> інклюзивного навчання.</w:t>
            </w:r>
          </w:p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  <w:t>Формувати інклюзивне середовище.</w:t>
            </w:r>
          </w:p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  <w:t>У разі звернення батьків інклюзивні класи утворю</w:t>
            </w:r>
            <w:r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</w:rPr>
              <w:t>вати</w:t>
            </w:r>
            <w:r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  <w:t xml:space="preserve"> в обов’язковому порядку.</w:t>
            </w:r>
          </w:p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  <w:t>Клас, до якого зараховано дитину з ООП, яка здобуває освіту за індивідуальною формою</w:t>
            </w:r>
            <w:r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</w:rPr>
              <w:t>,</w:t>
            </w:r>
            <w:r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  <w:t xml:space="preserve"> не є інклюзивним. Відповідно </w:t>
            </w:r>
            <w:r w:rsidR="00DC047C"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  <w:t>в</w:t>
            </w:r>
            <w:r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  <w:t>ведення ставки асистента вчителя та доплати за роботу з дітьми з ООП в таких класах є порушенням чинного законодавства.</w:t>
            </w:r>
          </w:p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  <w:t>У разі встановлення рішенням Державної комісії з питань техногенно-екологічної безпеки та надзвичайних ситуацій «червоного» рівня епідемічної небезпеки надання психолого-</w:t>
            </w:r>
            <w:r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педагогічних та корекційно-розвиткових послуг дітям з </w:t>
            </w:r>
            <w:r w:rsidR="00DC047C"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  <w:t>ООП</w:t>
            </w:r>
            <w:r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  <w:t xml:space="preserve">може здійснюватися </w:t>
            </w:r>
            <w:r w:rsidR="00DC047C"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  <w:t>за допомогою</w:t>
            </w:r>
            <w:r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  <w:t xml:space="preserve"> дистанційних технологій.</w:t>
            </w:r>
          </w:p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b w:val="0"/>
                <w:bCs w:val="0"/>
                <w:sz w:val="28"/>
                <w:szCs w:val="28"/>
                <w:lang w:val="uk-UA"/>
              </w:rPr>
              <w:t>Затвердити графік проведення корекційно-розвиткових занять із використанням технологій дистанційного навчання</w:t>
            </w:r>
          </w:p>
        </w:tc>
        <w:tc>
          <w:tcPr>
            <w:tcW w:w="3967" w:type="dxa"/>
          </w:tcPr>
          <w:p w:rsidR="00C712D2" w:rsidRPr="00E35A34" w:rsidRDefault="004E000D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hyperlink r:id="rId18" w:history="1">
              <w:r w:rsidR="00C712D2" w:rsidRPr="00E35A34">
                <w:rPr>
                  <w:rStyle w:val="a4"/>
                  <w:rFonts w:cs="Times New Roman"/>
                  <w:sz w:val="28"/>
                  <w:szCs w:val="28"/>
                </w:rPr>
                <w:t>Лист МОН «Щодоорганізаціїнавчанняосіб з особливимиосвітніми потребами у закладах загальноїсередньоїосвіти у 2021/2022 навчальномуроці»</w:t>
              </w:r>
            </w:hyperlink>
            <w:r w:rsidR="00C712D2" w:rsidRPr="00E35A34">
              <w:rPr>
                <w:rFonts w:cs="Times New Roman"/>
                <w:sz w:val="28"/>
                <w:szCs w:val="28"/>
              </w:rPr>
              <w:t>від</w:t>
            </w:r>
            <w:r w:rsidR="007C2A38" w:rsidRPr="00E35A34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="00C712D2" w:rsidRPr="00E35A34">
              <w:rPr>
                <w:rFonts w:cs="Times New Roman"/>
                <w:sz w:val="28"/>
                <w:szCs w:val="28"/>
              </w:rPr>
              <w:t>30.08.2021 № 1/9-436</w:t>
            </w:r>
          </w:p>
        </w:tc>
      </w:tr>
      <w:tr w:rsidR="00C712D2" w:rsidRPr="00E35A34" w:rsidTr="00C712D2">
        <w:tc>
          <w:tcPr>
            <w:tcW w:w="10456" w:type="dxa"/>
            <w:gridSpan w:val="2"/>
          </w:tcPr>
          <w:p w:rsidR="00C712D2" w:rsidRPr="00E35A34" w:rsidRDefault="00C712D2" w:rsidP="00CF53B4">
            <w:pPr>
              <w:pStyle w:val="ShiftCtrlAlt0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lastRenderedPageBreak/>
              <w:t>Безбар’єрний простір</w:t>
            </w:r>
          </w:p>
        </w:tc>
      </w:tr>
      <w:tr w:rsidR="00C712D2" w:rsidRPr="00E35A34" w:rsidTr="00C712D2">
        <w:tc>
          <w:tcPr>
            <w:tcW w:w="6489" w:type="dxa"/>
          </w:tcPr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Доступність.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Невід’ємн</w:t>
            </w:r>
            <w:r w:rsidR="00A7413D" w:rsidRPr="00E35A34">
              <w:rPr>
                <w:rFonts w:cs="Times New Roman"/>
                <w:sz w:val="28"/>
                <w:szCs w:val="28"/>
                <w:lang w:val="uk-UA"/>
              </w:rPr>
              <w:t>й</w:t>
            </w: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 склад</w:t>
            </w:r>
            <w:r w:rsidR="00A7413D" w:rsidRPr="00E35A34">
              <w:rPr>
                <w:rFonts w:cs="Times New Roman"/>
                <w:sz w:val="28"/>
                <w:szCs w:val="28"/>
                <w:lang w:val="uk-UA"/>
              </w:rPr>
              <w:t>ник</w:t>
            </w: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 інклюзивного освітнього середовища — архітектурна доступність закладів освіти. Основні елементи </w:t>
            </w:r>
            <w:r w:rsidRPr="00E35A34">
              <w:rPr>
                <w:rStyle w:val="Italic"/>
                <w:rFonts w:cs="Times New Roman"/>
                <w:i w:val="0"/>
                <w:iCs w:val="0"/>
                <w:sz w:val="28"/>
                <w:szCs w:val="28"/>
                <w:lang w:val="uk-UA"/>
              </w:rPr>
              <w:t>архітектурної доступності</w:t>
            </w: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 та умов для організації інклюзивного навчання: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доступність прилеглої території до будівлі закладу освіти — шляхи руху, зона паркування транспорту;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безбар’єрний вхід — входи, виходи, сходи, пандуси;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безперешкодний рух у приміщеннях — коридори, ліфти, підйомники, позначення, піктограми;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доступність до дверних і відкритих прорізів;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пристосування приміщень — шляхів руху, загальних і санітарних приміщень, рекреаційних зон.</w:t>
            </w:r>
          </w:p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sz w:val="28"/>
                <w:szCs w:val="28"/>
              </w:rPr>
            </w:pPr>
            <w:r w:rsidRPr="00E35A34">
              <w:rPr>
                <w:rStyle w:val="Bold"/>
                <w:rFonts w:cs="Times New Roman"/>
                <w:sz w:val="28"/>
                <w:szCs w:val="28"/>
              </w:rPr>
              <w:t>Універсальний дизайн та розумнепристосування</w:t>
            </w: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Передбачає не лише дотримання вимог архітектурної доступності будівель та приміщень закладів освіти, а й стосується навчальних матеріалів, методів викладання та оцінювання досягнень дітей</w:t>
            </w:r>
          </w:p>
        </w:tc>
        <w:tc>
          <w:tcPr>
            <w:tcW w:w="3967" w:type="dxa"/>
          </w:tcPr>
          <w:p w:rsidR="00C712D2" w:rsidRPr="00E35A34" w:rsidRDefault="004E000D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hyperlink r:id="rId19" w:anchor="bssPhr953" w:history="1">
              <w:r w:rsidR="00C712D2"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Національна стратегія зі створення безбар’єрного простору в Україні на період до 2030 року</w:t>
              </w:r>
            </w:hyperlink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>, затверджена постановою КМУ від 14.04.2021 №</w:t>
            </w:r>
            <w:r w:rsidR="00B86469" w:rsidRPr="00E35A34">
              <w:rPr>
                <w:rFonts w:cs="Times New Roman"/>
                <w:sz w:val="28"/>
                <w:szCs w:val="28"/>
                <w:lang w:val="uk-UA"/>
              </w:rPr>
              <w:t> </w:t>
            </w:r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>366-р.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Державні будівельні норми і стандарти (</w:t>
            </w:r>
            <w:hyperlink r:id="rId20" w:anchor="bssPhr5" w:history="1">
              <w:r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ДБН В.2.2-3:2018 «Будинки і споруди. Заклади освіти»</w:t>
              </w:r>
            </w:hyperlink>
            <w:r w:rsidR="00D0110E" w:rsidRPr="00E35A34">
              <w:rPr>
                <w:rFonts w:cs="Times New Roman"/>
                <w:sz w:val="28"/>
                <w:szCs w:val="28"/>
                <w:lang w:val="uk-UA"/>
              </w:rPr>
              <w:t xml:space="preserve"> та</w:t>
            </w:r>
            <w:hyperlink r:id="rId21" w:anchor="bssPhr6" w:history="1">
              <w:r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ДБН В.2.2-40:2018 «Інклюзивність будівель і споруд»</w:t>
              </w:r>
            </w:hyperlink>
            <w:r w:rsidRPr="00E35A34">
              <w:rPr>
                <w:rFonts w:cs="Times New Roman"/>
                <w:sz w:val="28"/>
                <w:szCs w:val="28"/>
                <w:lang w:val="uk-UA"/>
              </w:rPr>
              <w:t>)</w:t>
            </w:r>
          </w:p>
        </w:tc>
      </w:tr>
      <w:tr w:rsidR="00C712D2" w:rsidRPr="00E35A34" w:rsidTr="00C712D2">
        <w:tc>
          <w:tcPr>
            <w:tcW w:w="10456" w:type="dxa"/>
            <w:gridSpan w:val="2"/>
          </w:tcPr>
          <w:p w:rsidR="00C712D2" w:rsidRPr="00E35A34" w:rsidRDefault="00C712D2" w:rsidP="00CF53B4">
            <w:pPr>
              <w:pStyle w:val="ShiftCtrlAlt0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Харчування</w:t>
            </w:r>
          </w:p>
        </w:tc>
      </w:tr>
      <w:tr w:rsidR="00C712D2" w:rsidRPr="00E35A34" w:rsidTr="00C712D2">
        <w:tc>
          <w:tcPr>
            <w:tcW w:w="6489" w:type="dxa"/>
          </w:tcPr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Упровадження нових норм.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З 1 вересня 2021 року впровадити нові норми й порядок харчування учнів</w:t>
            </w:r>
          </w:p>
        </w:tc>
        <w:tc>
          <w:tcPr>
            <w:tcW w:w="3967" w:type="dxa"/>
          </w:tcPr>
          <w:p w:rsidR="00C712D2" w:rsidRPr="00E35A34" w:rsidRDefault="004E000D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hyperlink r:id="rId22" w:anchor="bssPhr12529" w:history="1">
              <w:r w:rsidR="00C712D2"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Постанова КМУ</w:t>
              </w:r>
            </w:hyperlink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 xml:space="preserve"> від 24.03.2021 № 305</w:t>
            </w:r>
          </w:p>
        </w:tc>
      </w:tr>
      <w:tr w:rsidR="00C712D2" w:rsidRPr="00E35A34" w:rsidTr="00C712D2">
        <w:tc>
          <w:tcPr>
            <w:tcW w:w="6489" w:type="dxa"/>
          </w:tcPr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Урахувати </w:t>
            </w: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зміни до норм харчування</w:t>
            </w:r>
            <w:r w:rsidRPr="00E35A34">
              <w:rPr>
                <w:rFonts w:cs="Times New Roman"/>
                <w:sz w:val="28"/>
                <w:szCs w:val="28"/>
                <w:lang w:val="uk-UA"/>
              </w:rPr>
              <w:t>, що вніс КМУ: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 xml:space="preserve">доповнив групи харчових продуктів такими </w:t>
            </w:r>
            <w:r w:rsidRPr="00E35A34">
              <w:rPr>
                <w:rFonts w:cs="Times New Roman"/>
                <w:sz w:val="28"/>
                <w:szCs w:val="28"/>
              </w:rPr>
              <w:lastRenderedPageBreak/>
              <w:t>позиціями, як олія соняшникова та кукурудзяна, зернові культури (наприклад, гречка), плоди сушені (наприклад, шипшини), молоко безлактозне;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уточнив кількість певних груп харчових продуктів, а також частоту їх включення до певних прийомів їжі;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уніфікував термінологію з тією, що використовується в технологічній документації на страви та вироби;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розширив інформацію про харчові продукти щодо вмісту глютену для організації дієтичного харчування</w:t>
            </w:r>
          </w:p>
        </w:tc>
        <w:tc>
          <w:tcPr>
            <w:tcW w:w="3967" w:type="dxa"/>
          </w:tcPr>
          <w:p w:rsidR="00C712D2" w:rsidRPr="00E35A34" w:rsidRDefault="004E000D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hyperlink r:id="rId23" w:anchor="bssPhr9" w:history="1">
              <w:r w:rsidR="00C712D2"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Постанова КМУ</w:t>
              </w:r>
            </w:hyperlink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 xml:space="preserve"> від 28.07.2021 № 786</w:t>
            </w:r>
          </w:p>
        </w:tc>
      </w:tr>
      <w:tr w:rsidR="00C712D2" w:rsidRPr="00E35A34" w:rsidTr="00C712D2">
        <w:tc>
          <w:tcPr>
            <w:tcW w:w="6489" w:type="dxa"/>
          </w:tcPr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lastRenderedPageBreak/>
              <w:t xml:space="preserve">Урахувати </w:t>
            </w: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перехідний період на нові норми</w:t>
            </w: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 харчування з 01 вересня 2021 року до 01 січня 2022 року. До 1 січня 2022-го в разі наявності укладених до 7 квітня 2021-го договорів на постачання харчових продуктів або надання послуг з харчування, строк дії яких встановлено до 31.12.2021, можна застосовувати норми харчування, затверджені постановою КМУ від 22.11.2004 № 1591 «Про затвердження норм харчування у закладах освіти та дитячих закладах оздоровлення та відпочинку»</w:t>
            </w:r>
          </w:p>
        </w:tc>
        <w:tc>
          <w:tcPr>
            <w:tcW w:w="3967" w:type="dxa"/>
          </w:tcPr>
          <w:p w:rsidR="00C712D2" w:rsidRPr="00E35A34" w:rsidRDefault="004E000D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hyperlink r:id="rId24" w:anchor="bssPhr9" w:history="1">
              <w:r w:rsidR="00C712D2"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Постанова КМУ</w:t>
              </w:r>
            </w:hyperlink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 xml:space="preserve"> від 18.08.2021 № 871</w:t>
            </w:r>
          </w:p>
        </w:tc>
      </w:tr>
      <w:tr w:rsidR="00C712D2" w:rsidRPr="00E35A34" w:rsidTr="00C712D2">
        <w:tc>
          <w:tcPr>
            <w:tcW w:w="10456" w:type="dxa"/>
            <w:gridSpan w:val="2"/>
          </w:tcPr>
          <w:p w:rsidR="00C712D2" w:rsidRPr="00E35A34" w:rsidRDefault="00C712D2" w:rsidP="00CF53B4">
            <w:pPr>
              <w:pStyle w:val="ShiftCtrlAlt0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>Діяльність ліцеїв</w:t>
            </w:r>
          </w:p>
        </w:tc>
      </w:tr>
      <w:tr w:rsidR="00C712D2" w:rsidRPr="00E35A34" w:rsidTr="00C712D2">
        <w:tc>
          <w:tcPr>
            <w:tcW w:w="6489" w:type="dxa"/>
          </w:tcPr>
          <w:p w:rsidR="00C712D2" w:rsidRPr="00E35A34" w:rsidRDefault="00C712D2" w:rsidP="00CF53B4">
            <w:pPr>
              <w:pStyle w:val="ShiftCtrlAlt"/>
              <w:rPr>
                <w:rStyle w:val="Bold"/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Організацію діяльності ліцею.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r w:rsidRPr="00E35A34">
              <w:rPr>
                <w:rFonts w:cs="Times New Roman"/>
                <w:sz w:val="28"/>
                <w:szCs w:val="28"/>
                <w:lang w:val="uk-UA"/>
              </w:rPr>
              <w:t xml:space="preserve">Для започаткування та проведення освітньої діяльності комунального ліцею засновник з 1 вересня 2027 року має забезпечити </w:t>
            </w:r>
            <w:r w:rsidRPr="00E35A34">
              <w:rPr>
                <w:rStyle w:val="Bold"/>
                <w:rFonts w:cs="Times New Roman"/>
                <w:sz w:val="28"/>
                <w:szCs w:val="28"/>
                <w:lang w:val="uk-UA"/>
              </w:rPr>
              <w:t>відповідність закладу освіти вимогам</w:t>
            </w:r>
            <w:r w:rsidRPr="00E35A34">
              <w:rPr>
                <w:rFonts w:cs="Times New Roman"/>
                <w:sz w:val="28"/>
                <w:szCs w:val="28"/>
                <w:lang w:val="uk-UA"/>
              </w:rPr>
              <w:t>, що визначені положенням про ліцей та ліцензійними умовами, зокрема щодо: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функціонування не менше двох класів за трьома профілями навчання на рівні профільної середньої освіти (протягом 10—12 років навчання учнів);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функціонування ліцею як окремої юрособи, відокремленої від початкової школи та гімназії;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(інтегрованих курсів, інших освітніх компонентів);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 xml:space="preserve">створення безпечного, інклюзивного та </w:t>
            </w:r>
            <w:r w:rsidRPr="00E35A34">
              <w:rPr>
                <w:rFonts w:cs="Times New Roman"/>
                <w:sz w:val="28"/>
                <w:szCs w:val="28"/>
              </w:rPr>
              <w:lastRenderedPageBreak/>
              <w:t>цифрового освітнього середовища відповідно до вимог законодавства;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підвезення (у разі потреби) учнів і педпрацівників до закладу освіти та у зворотному напрямку до місця проживання (за потреби) на відстань, що визначає законодавство;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забезпечення проживання учнів у пансіонах, якщо час їхнього доїзду до ліцею перевищуватиме норми;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забезпечення учасникам освітнього процесу в приміщеннях закладу освіти вільного і безоплатного бездротового доступу до інтернету;</w:t>
            </w:r>
          </w:p>
          <w:p w:rsidR="00C712D2" w:rsidRPr="00E35A34" w:rsidRDefault="00C712D2" w:rsidP="00CF53B4">
            <w:pPr>
              <w:pStyle w:val="a"/>
              <w:rPr>
                <w:rFonts w:cs="Times New Roman"/>
                <w:sz w:val="28"/>
                <w:szCs w:val="28"/>
              </w:rPr>
            </w:pPr>
            <w:r w:rsidRPr="00E35A34">
              <w:rPr>
                <w:rFonts w:cs="Times New Roman"/>
                <w:sz w:val="28"/>
                <w:szCs w:val="28"/>
              </w:rPr>
              <w:t>забезпечення учнів харчуванням у порядку та відповідно до вимог, визначених КМУ</w:t>
            </w:r>
          </w:p>
        </w:tc>
        <w:tc>
          <w:tcPr>
            <w:tcW w:w="3967" w:type="dxa"/>
          </w:tcPr>
          <w:p w:rsidR="00C712D2" w:rsidRPr="00E35A34" w:rsidRDefault="004E000D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hyperlink r:id="rId25" w:anchor="bssPhr2" w:history="1">
              <w:r w:rsidR="00C712D2"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Закон України «Про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освіти»</w:t>
              </w:r>
            </w:hyperlink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 xml:space="preserve"> від 15.07.2021 № 1658-ІХ.</w:t>
            </w:r>
          </w:p>
          <w:p w:rsidR="00C712D2" w:rsidRPr="00E35A34" w:rsidRDefault="00C712D2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</w:p>
          <w:p w:rsidR="00C712D2" w:rsidRPr="00E35A34" w:rsidRDefault="004E000D" w:rsidP="00CF53B4">
            <w:pPr>
              <w:pStyle w:val="ShiftCtrlAlt"/>
              <w:rPr>
                <w:rFonts w:cs="Times New Roman"/>
                <w:sz w:val="28"/>
                <w:szCs w:val="28"/>
                <w:lang w:val="uk-UA"/>
              </w:rPr>
            </w:pPr>
            <w:hyperlink r:id="rId26" w:anchor="bssPhr132" w:history="1">
              <w:r w:rsidR="00C712D2" w:rsidRPr="00E35A34">
                <w:rPr>
                  <w:rStyle w:val="a4"/>
                  <w:rFonts w:cs="Times New Roman"/>
                  <w:sz w:val="28"/>
                  <w:szCs w:val="28"/>
                  <w:lang w:val="uk-UA"/>
                </w:rPr>
                <w:t>Положення про військовий (військово-морський, військово-спортивний) ліцей, ліцей із посиленою військово-фізичною підготовкою</w:t>
              </w:r>
            </w:hyperlink>
            <w:r w:rsidR="00C712D2" w:rsidRPr="00E35A34">
              <w:rPr>
                <w:rFonts w:cs="Times New Roman"/>
                <w:sz w:val="28"/>
                <w:szCs w:val="28"/>
                <w:lang w:val="uk-UA"/>
              </w:rPr>
              <w:t>, затверджене постановою КМУ від 30.06.2021 № 672</w:t>
            </w:r>
          </w:p>
        </w:tc>
      </w:tr>
    </w:tbl>
    <w:p w:rsidR="00C712D2" w:rsidRPr="00E35A34" w:rsidRDefault="00C712D2" w:rsidP="00C712D2">
      <w:pPr>
        <w:pStyle w:val="Ctrl"/>
        <w:ind w:firstLine="0"/>
        <w:rPr>
          <w:rFonts w:cs="Times New Roman"/>
          <w:sz w:val="28"/>
          <w:szCs w:val="28"/>
        </w:rPr>
      </w:pPr>
    </w:p>
    <w:p w:rsidR="00C712D2" w:rsidRPr="00E35A34" w:rsidRDefault="00C712D2" w:rsidP="00C712D2">
      <w:pPr>
        <w:pStyle w:val="Ctrl0"/>
        <w:rPr>
          <w:rFonts w:cs="Times New Roman"/>
          <w:sz w:val="28"/>
          <w:szCs w:val="28"/>
          <w:lang w:eastAsia="uk-UA"/>
        </w:rPr>
      </w:pPr>
      <w:r w:rsidRPr="00E35A34">
        <w:rPr>
          <w:rStyle w:val="Bold"/>
          <w:rFonts w:cs="Times New Roman"/>
          <w:sz w:val="28"/>
          <w:szCs w:val="28"/>
        </w:rPr>
        <w:t>Примітка.</w:t>
      </w:r>
      <w:r w:rsidRPr="00E35A34">
        <w:rPr>
          <w:rFonts w:cs="Times New Roman"/>
          <w:sz w:val="28"/>
          <w:szCs w:val="28"/>
        </w:rPr>
        <w:t xml:space="preserve"> Складено відповідно до </w:t>
      </w:r>
      <w:hyperlink r:id="rId27" w:anchor="bssPhr5" w:history="1">
        <w:r w:rsidRPr="00E35A34">
          <w:rPr>
            <w:rStyle w:val="a4"/>
            <w:rFonts w:cs="Times New Roman"/>
            <w:sz w:val="28"/>
            <w:szCs w:val="28"/>
          </w:rPr>
          <w:t>листа МОН «Про окремі питання діяльності закладів загальної середньої освіти у новому 2021/2022 навчальному році»</w:t>
        </w:r>
      </w:hyperlink>
      <w:r w:rsidRPr="00E35A34">
        <w:rPr>
          <w:rFonts w:cs="Times New Roman"/>
          <w:sz w:val="28"/>
          <w:szCs w:val="28"/>
        </w:rPr>
        <w:t xml:space="preserve"> від 28.08.2021 №1/9-433.</w:t>
      </w:r>
    </w:p>
    <w:p w:rsidR="00FB70DF" w:rsidRPr="00E35A34" w:rsidRDefault="00461CC2">
      <w:pPr>
        <w:rPr>
          <w:rFonts w:ascii="Times New Roman" w:hAnsi="Times New Roman" w:cs="Times New Roman"/>
          <w:sz w:val="28"/>
          <w:szCs w:val="28"/>
        </w:rPr>
      </w:pPr>
    </w:p>
    <w:sectPr w:rsidR="00FB70DF" w:rsidRPr="00E35A34" w:rsidSect="00F936E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C2" w:rsidRDefault="00461CC2">
      <w:pPr>
        <w:spacing w:after="0" w:line="240" w:lineRule="auto"/>
      </w:pPr>
      <w:r>
        <w:separator/>
      </w:r>
    </w:p>
  </w:endnote>
  <w:endnote w:type="continuationSeparator" w:id="1">
    <w:p w:rsidR="00461CC2" w:rsidRDefault="0046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E3" w:rsidRDefault="00461CC2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E3" w:rsidRDefault="00461CC2">
    <w:pPr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E3" w:rsidRDefault="00461CC2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C2" w:rsidRDefault="00461CC2">
      <w:pPr>
        <w:spacing w:after="0" w:line="240" w:lineRule="auto"/>
      </w:pPr>
      <w:r>
        <w:separator/>
      </w:r>
    </w:p>
  </w:footnote>
  <w:footnote w:type="continuationSeparator" w:id="1">
    <w:p w:rsidR="00461CC2" w:rsidRDefault="0046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E3" w:rsidRDefault="00461CC2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E3" w:rsidRDefault="00461CC2">
    <w:pPr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E3" w:rsidRDefault="00461CC2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6C9A"/>
    <w:multiLevelType w:val="hybridMultilevel"/>
    <w:tmpl w:val="5D40CB1C"/>
    <w:lvl w:ilvl="0" w:tplc="64F2128A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2D2"/>
    <w:rsid w:val="00051A42"/>
    <w:rsid w:val="000851D5"/>
    <w:rsid w:val="000A1327"/>
    <w:rsid w:val="000D54AF"/>
    <w:rsid w:val="000E6A2F"/>
    <w:rsid w:val="000F4CB8"/>
    <w:rsid w:val="001B0350"/>
    <w:rsid w:val="001D65BB"/>
    <w:rsid w:val="002327E6"/>
    <w:rsid w:val="0023494F"/>
    <w:rsid w:val="003432A1"/>
    <w:rsid w:val="00406FB6"/>
    <w:rsid w:val="00414793"/>
    <w:rsid w:val="00461CC2"/>
    <w:rsid w:val="004E000D"/>
    <w:rsid w:val="00516A17"/>
    <w:rsid w:val="00534F5C"/>
    <w:rsid w:val="00564F6F"/>
    <w:rsid w:val="005870B2"/>
    <w:rsid w:val="00633116"/>
    <w:rsid w:val="00692212"/>
    <w:rsid w:val="00722D43"/>
    <w:rsid w:val="00754CF3"/>
    <w:rsid w:val="00783BC6"/>
    <w:rsid w:val="007A2421"/>
    <w:rsid w:val="007C2A38"/>
    <w:rsid w:val="00940E05"/>
    <w:rsid w:val="009D22ED"/>
    <w:rsid w:val="009F28DE"/>
    <w:rsid w:val="00A7413D"/>
    <w:rsid w:val="00B86469"/>
    <w:rsid w:val="00BE511F"/>
    <w:rsid w:val="00C712D2"/>
    <w:rsid w:val="00CC1E02"/>
    <w:rsid w:val="00D0110E"/>
    <w:rsid w:val="00D17419"/>
    <w:rsid w:val="00D70BFC"/>
    <w:rsid w:val="00D9322B"/>
    <w:rsid w:val="00DC047C"/>
    <w:rsid w:val="00DD151D"/>
    <w:rsid w:val="00E21901"/>
    <w:rsid w:val="00E33A22"/>
    <w:rsid w:val="00E35A34"/>
    <w:rsid w:val="00E46701"/>
    <w:rsid w:val="00E603AC"/>
    <w:rsid w:val="00F6444E"/>
    <w:rsid w:val="00F76373"/>
    <w:rsid w:val="00FE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12D2"/>
    <w:pPr>
      <w:spacing w:after="200" w:line="276" w:lineRule="auto"/>
    </w:pPr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C712D2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Ctrl0">
    <w:name w:val="Статья_сноска (Статья ___Ctrl)"/>
    <w:uiPriority w:val="1"/>
    <w:rsid w:val="00C712D2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C712D2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C712D2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C712D2"/>
    <w:rPr>
      <w:rFonts w:ascii="Times New Roman" w:hAnsi="Times New Roman"/>
      <w:b/>
      <w:bCs/>
    </w:rPr>
  </w:style>
  <w:style w:type="character" w:customStyle="1" w:styleId="Italic">
    <w:name w:val="Italic"/>
    <w:rsid w:val="00C712D2"/>
    <w:rPr>
      <w:rFonts w:ascii="Times New Roman" w:hAnsi="Times New Roman"/>
      <w:i/>
      <w:iCs/>
    </w:rPr>
  </w:style>
  <w:style w:type="paragraph" w:customStyle="1" w:styleId="a">
    <w:name w:val="Таблица_список (Таблица)"/>
    <w:basedOn w:val="ShiftCtrlAlt"/>
    <w:uiPriority w:val="99"/>
    <w:rsid w:val="00C712D2"/>
    <w:pPr>
      <w:numPr>
        <w:numId w:val="1"/>
      </w:numPr>
      <w:ind w:left="510" w:hanging="170"/>
    </w:pPr>
    <w:rPr>
      <w:lang w:val="uk-UA"/>
    </w:rPr>
  </w:style>
  <w:style w:type="table" w:customStyle="1" w:styleId="1">
    <w:name w:val="Стиль1"/>
    <w:basedOn w:val="a2"/>
    <w:uiPriority w:val="99"/>
    <w:rsid w:val="00C712D2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trl">
    <w:name w:val="Статья_заголовок 1 (Статья ___Ctrl)"/>
    <w:next w:val="Ctrl"/>
    <w:uiPriority w:val="1"/>
    <w:rsid w:val="00C712D2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character" w:styleId="a4">
    <w:name w:val="Hyperlink"/>
    <w:basedOn w:val="a1"/>
    <w:uiPriority w:val="99"/>
    <w:unhideWhenUsed/>
    <w:rsid w:val="009F28DE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9F28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irshkoly.mcfr.ua/npd-doc?npmid=94&amp;npid=58437&amp;anchor=bssPhr16" TargetMode="External"/><Relationship Id="rId18" Type="http://schemas.openxmlformats.org/officeDocument/2006/relationships/hyperlink" Target="https://edirshkoly.mcfr.ua/npd-doc?npmid=94&amp;npid=63796" TargetMode="External"/><Relationship Id="rId26" Type="http://schemas.openxmlformats.org/officeDocument/2006/relationships/hyperlink" Target="https://edirshkoly.mcfr.ua/npd-doc?npmid=94&amp;npid=62968&amp;anchor=bssPhr13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irshkoly.mcfr.ua/npd-doc?npmid=94&amp;npid=47650&amp;anchor=bssPhr6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dirshkoly.mcfr.ua/npd-doc?npmid=94&amp;npid=63618&amp;anchor=bssPhr2" TargetMode="External"/><Relationship Id="rId17" Type="http://schemas.openxmlformats.org/officeDocument/2006/relationships/hyperlink" Target="https://edirshkoly.mcfr.ua/npd-doc?npmid=94&amp;npid=59518&amp;anchor=bssPhr25" TargetMode="External"/><Relationship Id="rId25" Type="http://schemas.openxmlformats.org/officeDocument/2006/relationships/hyperlink" Target="https://edirshkoly.mcfr.ua/npd-doc?npmid=94&amp;npid=63438&amp;anchor=bssPhr2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edirshkoly.mcfr.ua/npd-doc?npmid=94&amp;npid=63846&amp;anchor=bssPhr4" TargetMode="External"/><Relationship Id="rId20" Type="http://schemas.openxmlformats.org/officeDocument/2006/relationships/hyperlink" Target="https://edirshkoly.mcfr.ua/npd-doc?npmid=94&amp;npid=44385&amp;anchor=bssPhr5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irshkoly.mcfr.ua/npd-doc?npmid=94&amp;npid=58669&amp;anchor=bssPhr24" TargetMode="External"/><Relationship Id="rId24" Type="http://schemas.openxmlformats.org/officeDocument/2006/relationships/hyperlink" Target="https://edirshkoly.mcfr.ua/npd-doc?npmid=94&amp;npid=63630&amp;anchor=bssPhr9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edirshkoly.mcfr.ua/npd-doc?npmid=94&amp;npid=63791&amp;anchor=bssPhr5" TargetMode="External"/><Relationship Id="rId23" Type="http://schemas.openxmlformats.org/officeDocument/2006/relationships/hyperlink" Target="https://edirshkoly.mcfr.ua/npd-doc?npmid=94&amp;npid=63280&amp;anchor=bssPhr9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dirshkoly.mcfr.ua/npd-doc?npmid=94&amp;npid=61765" TargetMode="External"/><Relationship Id="rId19" Type="http://schemas.openxmlformats.org/officeDocument/2006/relationships/hyperlink" Target="https://edirshkoly.mcfr.ua/npd-doc?npmid=94&amp;npid=63401&amp;anchor=bssPhr953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irshkoly.mcfr.ua/npd-doc?npmid=94&amp;npid=55866&amp;anchor=bssPhr995" TargetMode="External"/><Relationship Id="rId22" Type="http://schemas.openxmlformats.org/officeDocument/2006/relationships/hyperlink" Target="https://edirshkoly.mcfr.ua/npd-doc?npmid=94&amp;npid=63810&amp;anchor=bssPhr12529" TargetMode="External"/><Relationship Id="rId27" Type="http://schemas.openxmlformats.org/officeDocument/2006/relationships/hyperlink" Target="https://edirshkoly.mcfr.ua/npd-doc?npmid=94&amp;npid=63791&amp;anchor=bssPhr5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1ED95-9EEB-434B-8198-0D7067DD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F5FFD-BC3E-4A61-95F6-8DC9FD82D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96D24-64EC-48BE-B1A5-1D8868912C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Філоненко</dc:creator>
  <cp:lastModifiedBy>2</cp:lastModifiedBy>
  <cp:revision>2</cp:revision>
  <cp:lastPrinted>2021-09-28T13:04:00Z</cp:lastPrinted>
  <dcterms:created xsi:type="dcterms:W3CDTF">2021-09-29T07:51:00Z</dcterms:created>
  <dcterms:modified xsi:type="dcterms:W3CDTF">2021-09-29T07:51:00Z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